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68" w:rsidRDefault="00901168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F46CC" w:rsidRPr="000D73EB" w:rsidRDefault="006D29B9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BUCAK SAĞLIK YÜKSEKOKULU </w:t>
      </w:r>
      <w:r w:rsidR="002B2DC2" w:rsidRPr="000D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KALİTE POLİTİKASI VE STRATEJİK HEDEFLERİ </w:t>
      </w:r>
    </w:p>
    <w:p w:rsidR="002B2DC2" w:rsidRPr="000D73EB" w:rsidRDefault="008C3796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B2DC2" w:rsidRPr="000D73EB">
        <w:rPr>
          <w:rFonts w:ascii="Times New Roman" w:hAnsi="Times New Roman" w:cs="Times New Roman"/>
          <w:b/>
          <w:color w:val="auto"/>
          <w:sz w:val="24"/>
          <w:szCs w:val="24"/>
        </w:rPr>
        <w:t>2022-2026</w:t>
      </w: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2B2DC2" w:rsidRPr="000D73EB" w:rsidRDefault="002B2DC2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23F8" w:rsidRPr="000D73EB" w:rsidRDefault="005F46CC" w:rsidP="008C3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TEMEL AKADEMİK FAALİYETLER </w:t>
      </w:r>
      <w:r w:rsidRPr="000D73EB">
        <w:rPr>
          <w:rFonts w:ascii="Times New Roman" w:hAnsi="Times New Roman" w:cs="Times New Roman"/>
          <w:b/>
          <w:sz w:val="24"/>
          <w:szCs w:val="24"/>
        </w:rPr>
        <w:t>ANALİZİ</w:t>
      </w:r>
      <w:r w:rsidR="008C3796" w:rsidRPr="000D73EB">
        <w:rPr>
          <w:rFonts w:ascii="Times New Roman" w:hAnsi="Times New Roman" w:cs="Times New Roman"/>
          <w:b/>
          <w:sz w:val="24"/>
          <w:szCs w:val="24"/>
        </w:rPr>
        <w:t xml:space="preserve"> (2022 ve </w:t>
      </w:r>
      <w:r w:rsidR="002B2DC2" w:rsidRPr="000D73EB">
        <w:rPr>
          <w:rFonts w:ascii="Times New Roman" w:hAnsi="Times New Roman" w:cs="Times New Roman"/>
          <w:b/>
          <w:sz w:val="24"/>
          <w:szCs w:val="24"/>
        </w:rPr>
        <w:t>2023</w:t>
      </w:r>
      <w:r w:rsidR="008C3796" w:rsidRPr="000D73EB">
        <w:rPr>
          <w:rFonts w:ascii="Times New Roman" w:hAnsi="Times New Roman" w:cs="Times New Roman"/>
          <w:b/>
          <w:sz w:val="24"/>
          <w:szCs w:val="24"/>
        </w:rPr>
        <w:t xml:space="preserve"> Yılı)</w:t>
      </w:r>
    </w:p>
    <w:p w:rsidR="00DD0A29" w:rsidRDefault="00DD0A29" w:rsidP="00DD0A29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D0A29" w:rsidRDefault="00DD0A29" w:rsidP="00DD0A2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Temel Akademik Faaliyetler: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176"/>
        <w:gridCol w:w="8884"/>
      </w:tblGrid>
      <w:tr w:rsidR="00DD0A29" w:rsidRPr="000D73EB" w:rsidTr="001566CC">
        <w:tc>
          <w:tcPr>
            <w:tcW w:w="10060" w:type="dxa"/>
            <w:gridSpan w:val="2"/>
          </w:tcPr>
          <w:p w:rsidR="00DD0A29" w:rsidRDefault="00DD0A2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Eğitim Öğretim/ Araştırma Geliştirme/Toplumsal Katkı</w:t>
            </w:r>
          </w:p>
          <w:p w:rsidR="00DD0A29" w:rsidRPr="000D73EB" w:rsidRDefault="00DD0A2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F46CC" w:rsidRPr="000D73EB" w:rsidTr="00A67E5C">
        <w:tc>
          <w:tcPr>
            <w:tcW w:w="1129" w:type="dxa"/>
          </w:tcPr>
          <w:p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D6C99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Güçlü </w:t>
            </w:r>
          </w:p>
          <w:p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01E9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Yönler</w:t>
            </w:r>
          </w:p>
        </w:tc>
        <w:tc>
          <w:tcPr>
            <w:tcW w:w="8931" w:type="dxa"/>
          </w:tcPr>
          <w:p w:rsidR="004C01E9" w:rsidRPr="000D73EB" w:rsidRDefault="006D29B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Yüksekokul</w:t>
            </w:r>
            <w:r w:rsidR="004C01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programlarının kontenjan doluluk oranının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%100 olmak</w:t>
            </w:r>
          </w:p>
          <w:p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Gelişime açık, genç, dinamik ve nitelikli akademik personele sahip olmak</w:t>
            </w:r>
          </w:p>
          <w:p w:rsidR="004C01E9" w:rsidRPr="000D73EB" w:rsidRDefault="006D29B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Programlarda var olan </w:t>
            </w:r>
            <w:r w:rsidR="004C01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uygulamalı derslerin tüm paydaşların katılımıyla sistematik olarak yürütülmesi ve izlenmesi </w:t>
            </w:r>
          </w:p>
          <w:p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Vizyon ve misyonun tüm iç paydaşlar tarafından içselleştirilip benimsenmesi</w:t>
            </w:r>
          </w:p>
          <w:p w:rsidR="004C01E9" w:rsidRPr="000D73EB" w:rsidRDefault="006D29B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Yüksekokul</w:t>
            </w:r>
            <w:r w:rsidR="004C01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yönetimi, öğretim elemanları, idari personel ve öğrenciler arasında güçlü bir etkileşim ağı olması </w:t>
            </w:r>
          </w:p>
          <w:p w:rsidR="004C01E9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Eğitim ve öğretim süreçlerinde uygulama </w:t>
            </w:r>
            <w:r w:rsidR="006D29B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imkânlarının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fiziksel açıdan da desteklenmesi, 1 </w:t>
            </w:r>
            <w:r w:rsidR="006D2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AYAY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uygulama </w:t>
            </w:r>
            <w:r w:rsidR="006D2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laboratuvarı, 1 uygulama sahası,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6D2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Hemşirelik Laboratuvarı, 1 Ebelik laboratuvarı, 1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bilgisayar laboratuvarı, </w:t>
            </w:r>
            <w:r w:rsidR="006D2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temel tıp laboratuvarı, 1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D2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çocuk gelişimi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atölyesi, 1</w:t>
            </w:r>
            <w:r w:rsidR="006D2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serbest zaman çalışma salonu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bulunması</w:t>
            </w:r>
          </w:p>
          <w:p w:rsidR="00945160" w:rsidRPr="00945160" w:rsidRDefault="00945160" w:rsidP="009451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Kaynak ve bilgiye erişim olanakları açısından zengin veri tabanı ve kütüphaneye sahip olması.</w:t>
            </w:r>
          </w:p>
          <w:p w:rsidR="00945160" w:rsidRPr="00945160" w:rsidRDefault="00945160" w:rsidP="009451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Eğitim materyalleri-ders </w:t>
            </w:r>
            <w:r w:rsidR="006D29B9"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dokümanlarının</w:t>
            </w:r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yeterli olması</w:t>
            </w:r>
          </w:p>
          <w:p w:rsidR="00945160" w:rsidRPr="000D73EB" w:rsidRDefault="00945160" w:rsidP="009451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Güncel bilgi ve teknolojiyi izleme ve kullanma konusunda istekli olunması</w:t>
            </w:r>
          </w:p>
          <w:p w:rsidR="00941BE9" w:rsidRPr="000D73EB" w:rsidRDefault="000D73EB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ğretim elemanlarının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erişilebilir olması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41BE9" w:rsidRPr="000D73EB" w:rsidRDefault="000D73EB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Yönetimin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öğrenciler için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erişilebilir olması</w:t>
            </w:r>
          </w:p>
          <w:p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Kütüphanenin kaynak çeşitliliği bakımından zengin olması, </w:t>
            </w:r>
          </w:p>
          <w:p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Dersliklerin eğitim-öğretime elverişli ve teknik donanımlarının yeterli olması</w:t>
            </w:r>
            <w:r w:rsidR="006D2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(6 amfi, 5 derslik, 5 laboratuvar)</w:t>
            </w:r>
          </w:p>
          <w:p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Uygulama </w:t>
            </w:r>
            <w:r w:rsidR="00D745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alanları (Hastane, İlçe Sağlık Müdürlüğü, Okul, AFAD, İtfaiye Müdürlüğü)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ile kurulan yakın ve güçlü ilişkiler, uygulamadan sorumlu öğretim elemanlarının öğrencilere rehberlikleri ve </w:t>
            </w:r>
            <w:r w:rsidR="00D745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alan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ziyaretleri konusunda çaba göstermeleri, ayrıca uygulama </w:t>
            </w:r>
            <w:r w:rsidR="00D745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mentorlerinin yüksekokuldaki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eğitimlere ve toplantılara katılması</w:t>
            </w:r>
          </w:p>
          <w:p w:rsidR="00941BE9" w:rsidRPr="000D73EB" w:rsidRDefault="008D279F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Üniversitenin ve </w:t>
            </w:r>
            <w:r w:rsidR="00D745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yüksekokulumuzun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lusal ve uluslararası kurumlarla iş birliği ve iletişim ağının güçlü olması</w:t>
            </w:r>
          </w:p>
          <w:p w:rsidR="00941BE9" w:rsidRPr="000D73EB" w:rsidRDefault="008D279F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çıktılarının </w:t>
            </w:r>
            <w:r w:rsidR="00D745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ulusal çekirdek programı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Yeterlilikleri ile uyumlu olması</w:t>
            </w:r>
          </w:p>
          <w:p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Öğretim elemanlarının nitelik bakımından yeterli olmaları, uzmanlık alanlarının girdikleri derslerle ilişkili olması ve ilgili programın amaçlarına yönelik hizmetlerde bulunmaları</w:t>
            </w:r>
          </w:p>
          <w:p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Öğretim elemanlarının </w:t>
            </w:r>
            <w:r w:rsidR="00D745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öğrenciler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ile birlikte ulusal ve uluslararası bildiri, poster sun</w:t>
            </w:r>
            <w:r w:rsidR="00D53B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mları ve makale yazmaları</w:t>
            </w:r>
          </w:p>
          <w:p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Öğretim elemanlarının ve öğrencilerin </w:t>
            </w:r>
            <w:r w:rsidR="00173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TTO,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Gelişim Merkezi</w:t>
            </w:r>
            <w:r w:rsidR="00173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Uluslararası İlişkiler Koordinatörlüğü, AYEUM vd. merkezlerin ücretsiz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imkânlarından faydalanarak eğitimler alması</w:t>
            </w:r>
          </w:p>
          <w:p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 </w:t>
            </w:r>
            <w:proofErr w:type="gramStart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oryantasyon</w:t>
            </w:r>
            <w:proofErr w:type="gramEnd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programının etkin şekilde uygulanması (</w:t>
            </w:r>
            <w:r w:rsidR="00FA14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Oryantasyon programı ve etkinlikleri,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sunum programı vb.)</w:t>
            </w:r>
          </w:p>
          <w:p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Alana özgü aktif çalışma topluluklarının bulunması (</w:t>
            </w:r>
            <w:r w:rsidR="00D74523" w:rsidRPr="00D745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Sağlık ve Yaşam Bilimleri Topluluğu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9A35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41BE9" w:rsidRPr="000D73EB" w:rsidRDefault="009A3535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Yüksekokul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uygulamalı derslere yönelik her bir ders için ayrı 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uygulama kılavuzlarının hazırlanmış olması, uygulamaların alana özgü gerçekleştirilmesi bakımından alana özel uygulama kılavuzlarının olması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C01E9" w:rsidRPr="000D73EB" w:rsidRDefault="005636F3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 topluluklarının sosyal, bilimsel, kültürel etkinliklerinin desteklenmesi</w:t>
            </w:r>
          </w:p>
          <w:p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Üniversite hayatına yeni başlayan öğrencilere bir </w:t>
            </w:r>
            <w:proofErr w:type="gramStart"/>
            <w:r w:rsidRPr="000D73EB">
              <w:rPr>
                <w:rFonts w:ascii="Times New Roman" w:hAnsi="Times New Roman" w:cs="Times New Roman"/>
                <w:color w:val="auto"/>
              </w:rPr>
              <w:t>oryantasyon</w:t>
            </w:r>
            <w:proofErr w:type="gramEnd"/>
            <w:r w:rsidRPr="000D73EB">
              <w:rPr>
                <w:rFonts w:ascii="Times New Roman" w:hAnsi="Times New Roman" w:cs="Times New Roman"/>
                <w:color w:val="auto"/>
              </w:rPr>
              <w:t xml:space="preserve"> programı uygulanması ve izleyen süreçte </w:t>
            </w:r>
            <w:r w:rsidR="00FA14FA">
              <w:rPr>
                <w:rFonts w:ascii="Times New Roman" w:hAnsi="Times New Roman" w:cs="Times New Roman"/>
                <w:color w:val="auto"/>
              </w:rPr>
              <w:t xml:space="preserve">akademik </w:t>
            </w:r>
            <w:r w:rsidRPr="000D73EB">
              <w:rPr>
                <w:rFonts w:ascii="Times New Roman" w:hAnsi="Times New Roman" w:cs="Times New Roman"/>
                <w:color w:val="auto"/>
              </w:rPr>
              <w:t xml:space="preserve">danışmanlık hizmetlerinin etkili bir biçimde sürdürülmesi </w:t>
            </w:r>
          </w:p>
          <w:p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Öğrencilerin öğrenci temsilcileri aracılığıyla yönetime katılmaları </w:t>
            </w:r>
          </w:p>
          <w:p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Öğretim elemanlarının; mesleki gelişim ve araştırma yapma fırsatlarına sahip olması, üniversite ve topluma yararlı çalışmalar yapmaları, öğrencilere kişisel-sosyal, akademik ve kariyer gelişimi açısından gerekli rehberlik ve desteği sağlamaları, yeterli bir </w:t>
            </w:r>
            <w:r w:rsidR="009A3535">
              <w:rPr>
                <w:rFonts w:ascii="Times New Roman" w:hAnsi="Times New Roman" w:cs="Times New Roman"/>
                <w:color w:val="auto"/>
              </w:rPr>
              <w:t xml:space="preserve">alana özgü profesyoneller </w:t>
            </w:r>
            <w:r w:rsidRPr="000D73EB">
              <w:rPr>
                <w:rFonts w:ascii="Times New Roman" w:hAnsi="Times New Roman" w:cs="Times New Roman"/>
                <w:color w:val="auto"/>
              </w:rPr>
              <w:t xml:space="preserve">olmaları için gerekli olanakları yaratmaları </w:t>
            </w:r>
          </w:p>
          <w:p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Öğretim elemanlarının mesleki deneyim ve çalışma alanlarının okuttukları derslerle örtüşmesi </w:t>
            </w:r>
          </w:p>
          <w:p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Öğretim elemanlarının makale, proje ve topluma hizmet uygulamalarının iş birliğini yansıtması </w:t>
            </w:r>
          </w:p>
          <w:p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Fakülte binalarının engelsiz kampüs koşullarına uygun olarak planlanmış olması </w:t>
            </w:r>
          </w:p>
          <w:p w:rsidR="00300A40" w:rsidRPr="000D73EB" w:rsidRDefault="0091065E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Karar alma süreçlerine tüm paydaşların etkin bir biçimde katılması</w:t>
            </w:r>
          </w:p>
          <w:p w:rsidR="00300A40" w:rsidRPr="000D73EB" w:rsidRDefault="009A3535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Yüksekokulun</w:t>
            </w:r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kamuoyuna beyan edilen ve bilinen açık ve anlaşılır bir </w:t>
            </w:r>
            <w:proofErr w:type="gramStart"/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vizyon</w:t>
            </w:r>
            <w:proofErr w:type="gramEnd"/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ve misyonunun olması,</w:t>
            </w:r>
          </w:p>
          <w:p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Üniversite düzeyinde öğretim elemanı, öğretim süreci ve öğrencilere ilişkin veri tabanının bulunması,</w:t>
            </w:r>
          </w:p>
          <w:p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Öğrenci merkezli eğitim uygulamalarının yaygın şekilde yürütülmesi,</w:t>
            </w:r>
          </w:p>
          <w:p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Öğretim elemanlarının yeterli sayı ve nitelikte ulusal ve uluslararası yayınlarının olması,</w:t>
            </w:r>
          </w:p>
          <w:p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Seçmeli ders havuzunun zengin olması,</w:t>
            </w:r>
          </w:p>
          <w:p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Programın niteliğine uygun yeterli dersliklerin, altyapı ve donanımın bulunması,</w:t>
            </w:r>
          </w:p>
          <w:p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Fiziki ve altyapı bakımından sosyal tesislerin ve kütüphanenin yeterli olması,</w:t>
            </w:r>
          </w:p>
          <w:p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Öğrenci topluluklarının etkin olması,</w:t>
            </w:r>
          </w:p>
          <w:p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MAKÜ </w:t>
            </w:r>
            <w:r w:rsidR="00DC41B1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Bucak Sağlık Yüksekokulu</w:t>
            </w: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Uygulaması Kılavuzunun olması,</w:t>
            </w:r>
          </w:p>
          <w:p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Öğrencilerin değişim programlarından yararlanması,</w:t>
            </w:r>
          </w:p>
          <w:p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Öğretim elemanı kadrolarının alanında uzman, yetkin öğretim üyelerinden oluşması,</w:t>
            </w:r>
          </w:p>
          <w:p w:rsidR="005F46CC" w:rsidRPr="000D73EB" w:rsidRDefault="00184DE4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Fakültedeki çoğu öğretim elemanının </w:t>
            </w:r>
            <w:r w:rsidR="005F46CC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 üretme kapasitesinin güçlü olması</w:t>
            </w:r>
          </w:p>
          <w:p w:rsidR="005F46CC" w:rsidRPr="000D73EB" w:rsidRDefault="005F46CC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Teknokent</w:t>
            </w:r>
            <w:proofErr w:type="spellEnd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Teknoloji Transfer Ofisi (TTO) </w:t>
            </w:r>
            <w:proofErr w:type="spellStart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nun</w:t>
            </w:r>
            <w:proofErr w:type="spellEnd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kurulması.</w:t>
            </w:r>
          </w:p>
          <w:p w:rsidR="005F46CC" w:rsidRPr="000D73EB" w:rsidRDefault="005F46CC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100/2000 YÖK Doktora bursundan yararlanabilecek programların bulunması</w:t>
            </w:r>
          </w:p>
          <w:p w:rsidR="00300A40" w:rsidRPr="00184DE4" w:rsidRDefault="005F46CC" w:rsidP="005F46C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Çok sayıda araştırma uygulama merkezinin </w:t>
            </w:r>
            <w:r w:rsidR="00184D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olması</w:t>
            </w:r>
          </w:p>
          <w:p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46CC" w:rsidRPr="000D73EB" w:rsidTr="00A67E5C">
        <w:tc>
          <w:tcPr>
            <w:tcW w:w="1129" w:type="dxa"/>
          </w:tcPr>
          <w:p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36F3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7E5C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6C99" w:rsidRDefault="0027358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C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Gelişime </w:t>
            </w:r>
          </w:p>
          <w:p w:rsidR="005636F3" w:rsidRPr="006D6C99" w:rsidRDefault="0027358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C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Açık Yönler</w:t>
            </w:r>
          </w:p>
          <w:p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1" w:type="dxa"/>
          </w:tcPr>
          <w:p w:rsidR="00842744" w:rsidRPr="000D73EB" w:rsidRDefault="00842744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17A17" w:rsidRDefault="005636F3" w:rsidP="00317A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Kampüs içi sosyal tesislerin </w:t>
            </w:r>
            <w:r w:rsid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artırılması</w:t>
            </w:r>
          </w:p>
          <w:p w:rsidR="005636F3" w:rsidRPr="00317A17" w:rsidRDefault="00317A17" w:rsidP="00317A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Programlarda </w:t>
            </w:r>
            <w:r w:rsidR="005636F3"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öğretim elemanın sayısının artırılması</w:t>
            </w:r>
            <w:r w:rsidR="005636F3"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00A40" w:rsidRPr="00317A17" w:rsidRDefault="00300A40" w:rsidP="00317A1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317A17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Lisans Programının program yeterliliklerine ulaşılıp ulaşılmadığını gösteren </w:t>
            </w:r>
            <w:r w:rsid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mekanizmalar oluşturulması</w:t>
            </w:r>
          </w:p>
          <w:p w:rsidR="00300A40" w:rsidRPr="00317A17" w:rsidRDefault="00DC41B1" w:rsidP="00317A1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Yüksekokulun</w:t>
            </w:r>
            <w:r w:rsidR="00300A40" w:rsidRPr="00317A17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bir bütün olarak geliştirilmesinde kalite güvence sistemi verilerinin sistematik bir şekilde kullanılacağı mekanizmalar geliştirilmesi</w:t>
            </w:r>
          </w:p>
          <w:p w:rsidR="0027358B" w:rsidRDefault="005F46CC" w:rsidP="00317A1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Programı yürüten öğretim üyesi sayısının artırılması, </w:t>
            </w:r>
          </w:p>
          <w:p w:rsidR="005F46CC" w:rsidRPr="0027358B" w:rsidRDefault="005F46CC" w:rsidP="00317A1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lastRenderedPageBreak/>
              <w:t xml:space="preserve">Öğretim üyelerin dış kaynaklı projelerinin (TÜBİTAK, AB PROJELERİ gibi) </w:t>
            </w:r>
            <w:r w:rsid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artırılması </w:t>
            </w:r>
          </w:p>
          <w:p w:rsidR="005F46CC" w:rsidRPr="00317A17" w:rsidRDefault="0027358B" w:rsidP="00317A1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K</w:t>
            </w:r>
            <w:r w:rsidR="005F46CC" w:rsidRPr="00317A17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urum ve kuruluşlarla iş birliği ve ortak projelerin sınırlı olması</w:t>
            </w:r>
          </w:p>
          <w:p w:rsidR="00DC41B1" w:rsidRPr="00DC41B1" w:rsidRDefault="005F46CC" w:rsidP="00B86C2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41B1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Mez</w:t>
            </w:r>
            <w:r w:rsidR="00DC41B1" w:rsidRPr="00DC41B1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unlarının daha fazla izlenmesi</w:t>
            </w:r>
          </w:p>
          <w:p w:rsidR="0027358B" w:rsidRPr="00DC41B1" w:rsidRDefault="005F46CC" w:rsidP="00DC41B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4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Akademik yayınların </w:t>
            </w:r>
            <w:r w:rsidR="0027358B" w:rsidRPr="00DC4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niteliğinin ve niceliğinin artırılması</w:t>
            </w:r>
          </w:p>
          <w:p w:rsidR="0027358B" w:rsidRDefault="005F46CC" w:rsidP="0027358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Teknokent</w:t>
            </w:r>
            <w:proofErr w:type="spellEnd"/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TTO </w:t>
            </w:r>
            <w:proofErr w:type="spellStart"/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nin</w:t>
            </w:r>
            <w:proofErr w:type="spellEnd"/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çalışmalarının planlanmasını sağlayarak birimlere gerekli duyuruların yapılması</w:t>
            </w:r>
          </w:p>
          <w:p w:rsidR="0027358B" w:rsidRDefault="005F46CC" w:rsidP="0027358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Kariyer Ofisinin çalışmaları</w:t>
            </w:r>
          </w:p>
          <w:p w:rsidR="0027358B" w:rsidRDefault="005F46CC" w:rsidP="0027358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Paydaşlarla yakın ve güçlü ilişkiler</w:t>
            </w:r>
          </w:p>
          <w:p w:rsidR="0027358B" w:rsidRDefault="005F46CC" w:rsidP="0027358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Dış paydaş işbirliğinin arttırılarak eğitim programlarının tasarlanmasında paydaşların katılımının daha fazla sağlanması</w:t>
            </w:r>
          </w:p>
          <w:p w:rsidR="005F46CC" w:rsidRPr="0027358B" w:rsidRDefault="0027358B" w:rsidP="0027358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5F46CC"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kademik birimlerin bölgesel katkı faaliyetlerine odaklanması</w:t>
            </w:r>
          </w:p>
          <w:p w:rsidR="00300A40" w:rsidRPr="000D73EB" w:rsidRDefault="00300A40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6C99" w:rsidRPr="000D73EB" w:rsidTr="00A67E5C">
        <w:tc>
          <w:tcPr>
            <w:tcW w:w="1129" w:type="dxa"/>
          </w:tcPr>
          <w:p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7E5C" w:rsidRP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67E5C" w:rsidRP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D6C99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Fırsatlar</w:t>
            </w:r>
          </w:p>
        </w:tc>
        <w:tc>
          <w:tcPr>
            <w:tcW w:w="8931" w:type="dxa"/>
          </w:tcPr>
          <w:p w:rsidR="001613BD" w:rsidRPr="001D23B7" w:rsidRDefault="006D6C99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Üniversitemizin </w:t>
            </w:r>
            <w:r w:rsidR="001613BD"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genç bir üniversite olması</w:t>
            </w:r>
            <w:r w:rsid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Ülkemizin </w:t>
            </w:r>
            <w:r w:rsidR="00402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sağlık alanında çalışacak profesyonel 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ihtiyacını karşılamaya cevap veren köklü bir </w:t>
            </w:r>
            <w:r w:rsidR="00402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okul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olma</w:t>
            </w:r>
            <w:r w:rsidR="001D32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sı, kurumsal yapısı ve yenilikçi bakış açısına sahip olması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ilinin</w:t>
            </w:r>
            <w:r w:rsidR="00402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Bucak ilçesinin 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huzurlu, güvenilir ve yaşanabilir bir şehir olması 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Dinamik, teknolojik gelişmelere ve iletişime açık, öğrenci merkezli bir üniversite üst yönetimine sahip olmak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Üniversitenin coğrafi konumunun sunduğu fırsatlar (Antalya’ya yakın olması sebebiyle ulaşım imkânları, </w:t>
            </w:r>
            <w:proofErr w:type="spellStart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sosyo</w:t>
            </w:r>
            <w:proofErr w:type="spellEnd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-kültürel olanaklar, bölgenin doğal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</w:t>
            </w:r>
            <w:proofErr w:type="gramEnd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kültürel zenginlikleri)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Bölgesel ve </w:t>
            </w:r>
            <w:proofErr w:type="spellStart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sektörel</w:t>
            </w:r>
            <w:proofErr w:type="spellEnd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talepler doğrultusunda hızlı büyüme potansiyeline sahip bir üniversite olmak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 birimlerin araştırma ve uygulamalarına yönelik alanların (tarım, hayvancılık, gıda, arkeoloji, tarihi ve kültürel yapı) mevcut olması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Yükseköğretim talebinin artması 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Üniversitenin proje üretme kapasitesinin güçlü olması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Uygulamaya yönelik dersler için uygulama sınıflarının olması 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Uluslararası üniversitelerle iş birlikleri </w:t>
            </w:r>
          </w:p>
          <w:p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Bölgesel ve ulusal ihtiyaçlara uygun bölüm ve programların mevcut olması</w:t>
            </w:r>
          </w:p>
          <w:p w:rsidR="006D6C99" w:rsidRPr="000D73EB" w:rsidRDefault="006D6C99" w:rsidP="001613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6C99" w:rsidRPr="000D73EB" w:rsidTr="00A67E5C">
        <w:tc>
          <w:tcPr>
            <w:tcW w:w="1129" w:type="dxa"/>
          </w:tcPr>
          <w:p w:rsidR="001613BD" w:rsidRDefault="001613BD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13BD" w:rsidRDefault="001613BD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D6C99" w:rsidRPr="000D73EB" w:rsidRDefault="006D6C99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="00A67E5C"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ehditler </w:t>
            </w:r>
          </w:p>
        </w:tc>
        <w:tc>
          <w:tcPr>
            <w:tcW w:w="8931" w:type="dxa"/>
          </w:tcPr>
          <w:p w:rsidR="006D6C99" w:rsidRPr="00522581" w:rsidRDefault="006D6C99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Akademik ve idari personel sayısının kısmen yetersiz olması ve iş yükünün artması Burdur ilinin sosyal ve kültürel olanaklarının yetersiz olması </w:t>
            </w:r>
          </w:p>
          <w:p w:rsidR="00522581" w:rsidRPr="00522581" w:rsidRDefault="00522581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Rekabet edilecek üniversite/fakülte sayısı artış  </w:t>
            </w:r>
          </w:p>
          <w:p w:rsidR="00522581" w:rsidRPr="00522581" w:rsidRDefault="00522581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Çevre illerde köklü üniversitelerin bulunması </w:t>
            </w:r>
          </w:p>
          <w:p w:rsidR="00522581" w:rsidRPr="00522581" w:rsidRDefault="00522581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Öğrencilerin bölge illerindeki üniversiteleri öncelikle tercih etmesi </w:t>
            </w:r>
          </w:p>
          <w:p w:rsidR="00522581" w:rsidRPr="00522581" w:rsidRDefault="00522581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Büyükşehirlerde yer alan üniversitelerin öğrencilere ve çalışanlara daha geniş imkanlar sunması/Burdur ilinin aynı imkanları sunamaması</w:t>
            </w:r>
          </w:p>
          <w:p w:rsidR="006D6C99" w:rsidRPr="00522581" w:rsidRDefault="006D6C99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 başarı dilimindeki öğrencilerin</w:t>
            </w:r>
            <w:r w:rsidR="0065020A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F28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büyükşehirlerdeki üniversiteleri tercih etmesi</w:t>
            </w:r>
          </w:p>
          <w:p w:rsidR="006D6C99" w:rsidRPr="00522581" w:rsidRDefault="006D6C99" w:rsidP="005225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Yurt içi ve yurt dışı bilimsel faaliyetlere</w:t>
            </w:r>
            <w:r w:rsidR="0065020A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katılım için ayrılan kaynakların ihtiyacı</w:t>
            </w:r>
            <w:r w:rsid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13BD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karşılamada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yetersiz kalması</w:t>
            </w:r>
          </w:p>
          <w:p w:rsidR="006D6C99" w:rsidRPr="00CF285E" w:rsidRDefault="006D6C99" w:rsidP="00CF285E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323F8" w:rsidRPr="000D73EB" w:rsidRDefault="00D323F8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323F8" w:rsidRPr="000D73EB" w:rsidRDefault="00D323F8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323F8" w:rsidRDefault="006D29B9" w:rsidP="00A67E5C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BUCAK SAĞLIK TÜKSEKOKULU</w:t>
      </w:r>
      <w:r w:rsidR="00A67E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7E5C" w:rsidRPr="000D73EB">
        <w:rPr>
          <w:rFonts w:ascii="Times New Roman" w:hAnsi="Times New Roman" w:cs="Times New Roman"/>
          <w:color w:val="auto"/>
          <w:sz w:val="24"/>
          <w:szCs w:val="24"/>
        </w:rPr>
        <w:t>KALİTE</w:t>
      </w:r>
      <w:r w:rsidR="00A67E5C">
        <w:rPr>
          <w:rFonts w:ascii="Times New Roman" w:hAnsi="Times New Roman" w:cs="Times New Roman"/>
          <w:color w:val="auto"/>
          <w:sz w:val="24"/>
          <w:szCs w:val="24"/>
        </w:rPr>
        <w:t xml:space="preserve"> KOMİSYONU</w:t>
      </w:r>
    </w:p>
    <w:p w:rsidR="005F46CC" w:rsidRPr="000D73EB" w:rsidRDefault="00A67E5C" w:rsidP="00CF285E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2023 KASIM </w:t>
      </w:r>
      <w:bookmarkStart w:id="0" w:name="_GoBack"/>
      <w:bookmarkEnd w:id="0"/>
    </w:p>
    <w:sectPr w:rsidR="005F46CC" w:rsidRPr="000D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A6A"/>
    <w:multiLevelType w:val="hybridMultilevel"/>
    <w:tmpl w:val="E30E2E9E"/>
    <w:lvl w:ilvl="0" w:tplc="AF7E227A">
      <w:start w:val="1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930"/>
    <w:multiLevelType w:val="hybridMultilevel"/>
    <w:tmpl w:val="643A66A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00A67"/>
    <w:multiLevelType w:val="hybridMultilevel"/>
    <w:tmpl w:val="682E10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0A7"/>
    <w:multiLevelType w:val="hybridMultilevel"/>
    <w:tmpl w:val="A64421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E08B770">
      <w:start w:val="8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555B2"/>
    <w:multiLevelType w:val="hybridMultilevel"/>
    <w:tmpl w:val="8FE260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29E0"/>
    <w:multiLevelType w:val="hybridMultilevel"/>
    <w:tmpl w:val="4A0AC4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F8"/>
    <w:rsid w:val="000D73EB"/>
    <w:rsid w:val="000E2CEE"/>
    <w:rsid w:val="00156671"/>
    <w:rsid w:val="001613BD"/>
    <w:rsid w:val="00173C18"/>
    <w:rsid w:val="00184DE4"/>
    <w:rsid w:val="001D23B7"/>
    <w:rsid w:val="001D32A3"/>
    <w:rsid w:val="0027358B"/>
    <w:rsid w:val="002B2DC2"/>
    <w:rsid w:val="00300A40"/>
    <w:rsid w:val="00317A17"/>
    <w:rsid w:val="003C1D55"/>
    <w:rsid w:val="003C672A"/>
    <w:rsid w:val="004026A1"/>
    <w:rsid w:val="004C01E9"/>
    <w:rsid w:val="004F386E"/>
    <w:rsid w:val="00522581"/>
    <w:rsid w:val="005636F3"/>
    <w:rsid w:val="005F46CC"/>
    <w:rsid w:val="0065020A"/>
    <w:rsid w:val="006915AE"/>
    <w:rsid w:val="006D29B9"/>
    <w:rsid w:val="006D526B"/>
    <w:rsid w:val="006D6C99"/>
    <w:rsid w:val="00842744"/>
    <w:rsid w:val="008C3796"/>
    <w:rsid w:val="008D279F"/>
    <w:rsid w:val="00901168"/>
    <w:rsid w:val="0091065E"/>
    <w:rsid w:val="00932242"/>
    <w:rsid w:val="00941BE9"/>
    <w:rsid w:val="00945160"/>
    <w:rsid w:val="009A3535"/>
    <w:rsid w:val="00A65820"/>
    <w:rsid w:val="00A67E5C"/>
    <w:rsid w:val="00AA4F13"/>
    <w:rsid w:val="00C91A7F"/>
    <w:rsid w:val="00CA450B"/>
    <w:rsid w:val="00CB3FFA"/>
    <w:rsid w:val="00CF285E"/>
    <w:rsid w:val="00D323F8"/>
    <w:rsid w:val="00D53B01"/>
    <w:rsid w:val="00D74523"/>
    <w:rsid w:val="00DC41B1"/>
    <w:rsid w:val="00DD0A29"/>
    <w:rsid w:val="00E77518"/>
    <w:rsid w:val="00F07A79"/>
    <w:rsid w:val="00F14A3E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FFEA"/>
  <w15:chartTrackingRefBased/>
  <w15:docId w15:val="{912892FF-3771-4352-A9AF-C68067EA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7F"/>
    <w:rPr>
      <w:rFonts w:ascii="Calibri" w:hAnsi="Calibri" w:cs="Calibri"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D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FİRDEVS</dc:creator>
  <cp:keywords/>
  <dc:description/>
  <cp:lastModifiedBy>Duyuru Ekranı</cp:lastModifiedBy>
  <cp:revision>2</cp:revision>
  <dcterms:created xsi:type="dcterms:W3CDTF">2023-12-04T12:50:00Z</dcterms:created>
  <dcterms:modified xsi:type="dcterms:W3CDTF">2023-12-04T12:50:00Z</dcterms:modified>
</cp:coreProperties>
</file>